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72" w:type="dxa"/>
        <w:tblLayout w:type="fixed"/>
        <w:tblLook w:val="01E0" w:firstRow="1" w:lastRow="1" w:firstColumn="1" w:lastColumn="1" w:noHBand="0" w:noVBand="0"/>
      </w:tblPr>
      <w:tblGrid>
        <w:gridCol w:w="1025"/>
        <w:gridCol w:w="1906"/>
        <w:gridCol w:w="291"/>
        <w:gridCol w:w="1897"/>
        <w:gridCol w:w="533"/>
        <w:gridCol w:w="772"/>
        <w:gridCol w:w="3641"/>
      </w:tblGrid>
      <w:tr w:rsidR="007130DC">
        <w:tc>
          <w:tcPr>
            <w:tcW w:w="5651" w:type="dxa"/>
            <w:gridSpan w:val="5"/>
          </w:tcPr>
          <w:p w:rsidR="007130DC" w:rsidRDefault="00E9378C">
            <w:pPr>
              <w:pStyle w:val="23"/>
              <w:jc w:val="center"/>
              <w:rPr>
                <w:rFonts w:eastAsia="Calibri"/>
                <w:lang w:val="en-US"/>
              </w:rPr>
            </w:pPr>
            <w:r>
              <w:rPr>
                <w:noProof/>
              </w:rPr>
              <w:drawing>
                <wp:inline distT="0" distB="0" distL="0" distR="0">
                  <wp:extent cx="549910" cy="65087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9910" cy="650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7130DC" w:rsidRDefault="007130DC">
            <w:pPr>
              <w:pStyle w:val="23"/>
              <w:jc w:val="center"/>
              <w:rPr>
                <w:rFonts w:eastAsia="Calibri"/>
              </w:rPr>
            </w:pPr>
          </w:p>
          <w:p w:rsidR="007130DC" w:rsidRDefault="00E9378C">
            <w:pPr>
              <w:jc w:val="center"/>
              <w:rPr>
                <w:b/>
              </w:rPr>
            </w:pPr>
            <w:r>
              <w:rPr>
                <w:b/>
              </w:rPr>
              <w:t>МИНИСТЕРСТВО</w:t>
            </w:r>
          </w:p>
          <w:p w:rsidR="007130DC" w:rsidRDefault="00E9378C">
            <w:pPr>
              <w:jc w:val="center"/>
              <w:rPr>
                <w:b/>
              </w:rPr>
            </w:pPr>
            <w:r>
              <w:rPr>
                <w:b/>
              </w:rPr>
              <w:t>ТРАНСПОРТА И ДОРОЖНОГО ХОЗЯЙСТВА</w:t>
            </w:r>
          </w:p>
          <w:p w:rsidR="007130DC" w:rsidRDefault="00E9378C">
            <w:pPr>
              <w:jc w:val="center"/>
              <w:rPr>
                <w:b/>
              </w:rPr>
            </w:pPr>
            <w:r>
              <w:rPr>
                <w:b/>
              </w:rPr>
              <w:t xml:space="preserve"> НОВОСИБИРСКОЙ ОБЛАСТИ</w:t>
            </w:r>
          </w:p>
          <w:p w:rsidR="007130DC" w:rsidRDefault="00E9378C">
            <w:pPr>
              <w:jc w:val="center"/>
              <w:rPr>
                <w:b/>
              </w:rPr>
            </w:pPr>
            <w:r>
              <w:rPr>
                <w:b/>
              </w:rPr>
              <w:t>(Минтранс Новосибирской области)</w:t>
            </w:r>
          </w:p>
          <w:p w:rsidR="007130DC" w:rsidRDefault="007130DC">
            <w:pPr>
              <w:jc w:val="center"/>
              <w:rPr>
                <w:b/>
                <w:sz w:val="12"/>
                <w:szCs w:val="12"/>
              </w:rPr>
            </w:pPr>
          </w:p>
          <w:p w:rsidR="007130DC" w:rsidRDefault="00E937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Красный проспект, д.18, г. Новосибирск, 630007</w:t>
            </w:r>
          </w:p>
          <w:p w:rsidR="007130DC" w:rsidRDefault="00E9378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Тел.: (383)238-66-96, факс: (383)</w:t>
            </w:r>
            <w:r>
              <w:rPr>
                <w:sz w:val="22"/>
                <w:szCs w:val="22"/>
                <w:lang w:val="en-US"/>
              </w:rPr>
              <w:t>238-68-44</w:t>
            </w:r>
          </w:p>
          <w:p w:rsidR="007130DC" w:rsidRDefault="00E9378C">
            <w:pPr>
              <w:jc w:val="center"/>
              <w:rPr>
                <w:rStyle w:val="-"/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de-DE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5">
              <w:r>
                <w:rPr>
                  <w:rFonts w:cs="Times New Roman"/>
                  <w:color w:val="0000FF"/>
                  <w:sz w:val="22"/>
                  <w:szCs w:val="22"/>
                  <w:u w:val="single"/>
                  <w:lang w:val="de-DE"/>
                </w:rPr>
                <w:t>grma</w:t>
              </w:r>
              <w:r>
                <w:rPr>
                  <w:rFonts w:cs="Times New Roman"/>
                  <w:color w:val="0000FF"/>
                  <w:sz w:val="22"/>
                  <w:szCs w:val="22"/>
                  <w:u w:val="single"/>
                </w:rPr>
                <w:t>@</w:t>
              </w:r>
              <w:r>
                <w:rPr>
                  <w:rFonts w:cs="Times New Roman"/>
                  <w:color w:val="0000FF"/>
                  <w:sz w:val="22"/>
                  <w:szCs w:val="22"/>
                  <w:u w:val="single"/>
                  <w:lang w:val="de-DE"/>
                </w:rPr>
                <w:t>nso</w:t>
              </w:r>
              <w:r>
                <w:rPr>
                  <w:rFonts w:cs="Times New Roman"/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rFonts w:cs="Times New Roman"/>
                  <w:color w:val="0000FF"/>
                  <w:sz w:val="22"/>
                  <w:szCs w:val="22"/>
                  <w:u w:val="single"/>
                  <w:lang w:val="de-DE"/>
                </w:rPr>
                <w:t>ru</w:t>
              </w:r>
              <w:proofErr w:type="spellEnd"/>
            </w:hyperlink>
          </w:p>
          <w:p w:rsidR="007130DC" w:rsidRDefault="00B67083">
            <w:pPr>
              <w:jc w:val="center"/>
              <w:rPr>
                <w:color w:val="0000FF"/>
                <w:sz w:val="22"/>
                <w:szCs w:val="22"/>
                <w:u w:val="single"/>
                <w:lang w:val="en-US"/>
              </w:rPr>
            </w:pPr>
            <w:hyperlink r:id="rId6">
              <w:r w:rsidR="00E9378C">
                <w:rPr>
                  <w:rFonts w:cs="Times New Roman"/>
                  <w:color w:val="0000FF"/>
                  <w:sz w:val="22"/>
                  <w:szCs w:val="22"/>
                  <w:u w:val="single"/>
                  <w:lang w:val="en-US"/>
                </w:rPr>
                <w:t>www.mintrans.nso.ru</w:t>
              </w:r>
            </w:hyperlink>
          </w:p>
          <w:p w:rsidR="007130DC" w:rsidRDefault="007130D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772" w:type="dxa"/>
          </w:tcPr>
          <w:p w:rsidR="007130DC" w:rsidRDefault="007130DC">
            <w:pPr>
              <w:rPr>
                <w:rFonts w:ascii="Calibri" w:eastAsia="Calibri" w:hAnsi="Calibri"/>
                <w:lang w:val="de-DE"/>
              </w:rPr>
            </w:pPr>
          </w:p>
        </w:tc>
        <w:tc>
          <w:tcPr>
            <w:tcW w:w="3641" w:type="dxa"/>
          </w:tcPr>
          <w:p w:rsidR="007130DC" w:rsidRDefault="007130DC">
            <w:pPr>
              <w:pStyle w:val="af0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7130DC" w:rsidRDefault="007130DC">
            <w:pPr>
              <w:pStyle w:val="af0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7130DC" w:rsidRDefault="007130DC">
            <w:pPr>
              <w:pStyle w:val="af0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7130DC" w:rsidRDefault="007130DC">
            <w:pPr>
              <w:pStyle w:val="af0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</w:p>
          <w:p w:rsidR="007130DC" w:rsidRDefault="00E9378C">
            <w:pPr>
              <w:pStyle w:val="af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Начальнику управления прогнозирования доходов и налоговой политики министерства финансов</w:t>
            </w:r>
          </w:p>
          <w:p w:rsidR="007130DC" w:rsidRDefault="00E9378C">
            <w:pPr>
              <w:pStyle w:val="af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 налоговой политики</w:t>
            </w:r>
          </w:p>
          <w:p w:rsidR="007130DC" w:rsidRDefault="00E9378C">
            <w:pPr>
              <w:pStyle w:val="af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Новосибирской области</w:t>
            </w:r>
          </w:p>
          <w:p w:rsidR="007130DC" w:rsidRDefault="007130DC">
            <w:pPr>
              <w:pStyle w:val="af9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7130DC" w:rsidRDefault="00E9378C">
            <w:pPr>
              <w:pStyle w:val="af0"/>
              <w:tabs>
                <w:tab w:val="clear" w:pos="4153"/>
                <w:tab w:val="clear" w:pos="8306"/>
              </w:tabs>
              <w:jc w:val="center"/>
              <w:rPr>
                <w:rFonts w:eastAsia="Calibri"/>
              </w:rPr>
            </w:pPr>
            <w:r>
              <w:t>Г.А. Николаевой</w:t>
            </w:r>
          </w:p>
        </w:tc>
      </w:tr>
      <w:tr w:rsidR="007130DC">
        <w:trPr>
          <w:trHeight w:val="209"/>
        </w:trPr>
        <w:tc>
          <w:tcPr>
            <w:tcW w:w="1024" w:type="dxa"/>
          </w:tcPr>
          <w:p w:rsidR="007130DC" w:rsidRDefault="007130DC">
            <w:pPr>
              <w:ind w:left="7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</w:p>
        </w:tc>
        <w:tc>
          <w:tcPr>
            <w:tcW w:w="4094" w:type="dxa"/>
            <w:gridSpan w:val="3"/>
            <w:tcBorders>
              <w:bottom w:val="single" w:sz="4" w:space="0" w:color="000000"/>
            </w:tcBorders>
          </w:tcPr>
          <w:p w:rsidR="007130DC" w:rsidRPr="00E9378C" w:rsidRDefault="00B67083">
            <w:pPr>
              <w:jc w:val="center"/>
              <w:rPr>
                <w:rFonts w:eastAsia="Calibri"/>
                <w:color w:val="FFFFFF"/>
              </w:rPr>
            </w:pPr>
            <w:r>
              <w:rPr>
                <w:noProof/>
              </w:rPr>
              <w:drawing>
                <wp:anchor distT="0" distB="0" distL="0" distR="0" simplePos="0" relativeHeight="4" behindDoc="0" locked="0" layoutInCell="0" allowOverlap="1">
                  <wp:simplePos x="0" y="0"/>
                  <wp:positionH relativeFrom="character">
                    <wp:posOffset>-1924050</wp:posOffset>
                  </wp:positionH>
                  <wp:positionV relativeFrom="line">
                    <wp:posOffset>-8890</wp:posOffset>
                  </wp:positionV>
                  <wp:extent cx="3110865" cy="252095"/>
                  <wp:effectExtent l="0" t="0" r="0" b="0"/>
                  <wp:wrapNone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86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E9378C">
              <w:rPr>
                <w:color w:val="000000"/>
              </w:rPr>
              <w:t xml:space="preserve"> </w:t>
            </w:r>
            <w:r w:rsidR="00E9378C">
              <w:rPr>
                <w:color w:val="FFFFFF"/>
              </w:rPr>
              <w:t xml:space="preserve"> </w:t>
            </w:r>
            <w:r w:rsidR="00E9378C">
              <w:rPr>
                <w:color w:val="FFFFFF"/>
                <w:sz w:val="16"/>
                <w:szCs w:val="16"/>
              </w:rPr>
              <w:t xml:space="preserve">  </w:t>
            </w:r>
            <w:r w:rsidR="00E9378C" w:rsidRPr="00E9378C">
              <w:rPr>
                <w:rFonts w:eastAsia="Calibri"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533" w:type="dxa"/>
          </w:tcPr>
          <w:p w:rsidR="007130DC" w:rsidRDefault="007130DC"/>
        </w:tc>
        <w:tc>
          <w:tcPr>
            <w:tcW w:w="772" w:type="dxa"/>
          </w:tcPr>
          <w:p w:rsidR="007130DC" w:rsidRDefault="007130DC"/>
        </w:tc>
        <w:tc>
          <w:tcPr>
            <w:tcW w:w="3641" w:type="dxa"/>
          </w:tcPr>
          <w:p w:rsidR="007130DC" w:rsidRDefault="007130DC"/>
        </w:tc>
      </w:tr>
      <w:tr w:rsidR="007130DC">
        <w:tc>
          <w:tcPr>
            <w:tcW w:w="1024" w:type="dxa"/>
          </w:tcPr>
          <w:p w:rsidR="007130DC" w:rsidRDefault="00E9378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На №</w:t>
            </w:r>
          </w:p>
        </w:tc>
        <w:tc>
          <w:tcPr>
            <w:tcW w:w="1906" w:type="dxa"/>
            <w:tcBorders>
              <w:top w:val="single" w:sz="4" w:space="0" w:color="000000"/>
              <w:bottom w:val="single" w:sz="4" w:space="0" w:color="000000"/>
            </w:tcBorders>
          </w:tcPr>
          <w:p w:rsidR="007130DC" w:rsidRDefault="00E9378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03-02.3.2.2/1428/22</w:t>
            </w:r>
          </w:p>
        </w:tc>
        <w:tc>
          <w:tcPr>
            <w:tcW w:w="291" w:type="dxa"/>
          </w:tcPr>
          <w:p w:rsidR="007130DC" w:rsidRDefault="00E9378C">
            <w:pPr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>от</w:t>
            </w:r>
          </w:p>
        </w:tc>
        <w:tc>
          <w:tcPr>
            <w:tcW w:w="1897" w:type="dxa"/>
            <w:tcBorders>
              <w:top w:val="single" w:sz="4" w:space="0" w:color="000000"/>
              <w:bottom w:val="single" w:sz="4" w:space="0" w:color="000000"/>
            </w:tcBorders>
          </w:tcPr>
          <w:p w:rsidR="007130DC" w:rsidRDefault="00E9378C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05.06.2025</w:t>
            </w:r>
          </w:p>
        </w:tc>
        <w:tc>
          <w:tcPr>
            <w:tcW w:w="533" w:type="dxa"/>
          </w:tcPr>
          <w:p w:rsidR="007130DC" w:rsidRDefault="007130DC"/>
        </w:tc>
        <w:tc>
          <w:tcPr>
            <w:tcW w:w="772" w:type="dxa"/>
          </w:tcPr>
          <w:p w:rsidR="007130DC" w:rsidRDefault="007130DC"/>
        </w:tc>
        <w:tc>
          <w:tcPr>
            <w:tcW w:w="3641" w:type="dxa"/>
          </w:tcPr>
          <w:p w:rsidR="007130DC" w:rsidRDefault="007130DC"/>
        </w:tc>
      </w:tr>
    </w:tbl>
    <w:p w:rsidR="007130DC" w:rsidRDefault="00E9378C">
      <w:pPr>
        <w:ind w:right="201"/>
        <w:jc w:val="both"/>
      </w:pPr>
      <w:r>
        <w:t>О подготовке прогноза бюджета</w:t>
      </w:r>
    </w:p>
    <w:p w:rsidR="007130DC" w:rsidRDefault="00E9378C">
      <w:pPr>
        <w:ind w:right="201"/>
        <w:jc w:val="both"/>
      </w:pPr>
      <w:r>
        <w:t>на 2026 – 2028 гг.</w:t>
      </w:r>
    </w:p>
    <w:p w:rsidR="007130DC" w:rsidRDefault="007130DC">
      <w:pPr>
        <w:ind w:right="201"/>
        <w:jc w:val="both"/>
      </w:pPr>
    </w:p>
    <w:p w:rsidR="007130DC" w:rsidRDefault="007130DC">
      <w:pPr>
        <w:ind w:right="201"/>
        <w:jc w:val="both"/>
      </w:pPr>
    </w:p>
    <w:p w:rsidR="007130DC" w:rsidRDefault="007130DC">
      <w:pPr>
        <w:ind w:right="201"/>
        <w:jc w:val="both"/>
      </w:pPr>
    </w:p>
    <w:p w:rsidR="007130DC" w:rsidRDefault="00E9378C">
      <w:pPr>
        <w:ind w:right="201"/>
        <w:jc w:val="center"/>
      </w:pPr>
      <w:r>
        <w:t>Уважаемая Галина Александровна!</w:t>
      </w:r>
    </w:p>
    <w:p w:rsidR="007130DC" w:rsidRDefault="007130DC">
      <w:pPr>
        <w:ind w:right="201"/>
      </w:pPr>
    </w:p>
    <w:p w:rsidR="007130DC" w:rsidRDefault="00E9378C">
      <w:pPr>
        <w:tabs>
          <w:tab w:val="left" w:pos="1134"/>
          <w:tab w:val="left" w:pos="1276"/>
        </w:tabs>
        <w:ind w:firstLine="851"/>
        <w:jc w:val="both"/>
      </w:pPr>
      <w:r>
        <w:t>В целях подготовки прогноза областного бюджета Новосибирской области на 2026 год и плановый период 2027 и 2028 годов направляем ожидаемое исполнение плановых назначений 2025 года и прогноз поступлений по администрируемым доходным источникам на 2026 год и на период до 2028 года, а также расчеты и пояснения к расчетам в соответствии с методикой прогнозирования поступлений доходов в областной бюджет Новосибирской области, закрепленных за главным администратором доходов - министерством транспорта и дорожного хозяйства Новосибирской области, утвержденной приказом Минтранса Новосибирской области от 19.04.2019 № 57.</w:t>
      </w:r>
    </w:p>
    <w:p w:rsidR="007130DC" w:rsidRDefault="00E9378C">
      <w:pPr>
        <w:tabs>
          <w:tab w:val="left" w:pos="1134"/>
          <w:tab w:val="left" w:pos="1276"/>
        </w:tabs>
        <w:ind w:firstLine="851"/>
        <w:jc w:val="both"/>
      </w:pPr>
      <w:r>
        <w:t>В программный модуль «Сбор данных» информация внесена и передана на рассмотрение министерству финансов и налоговой политики Новосибирской области.</w:t>
      </w:r>
    </w:p>
    <w:p w:rsidR="007130DC" w:rsidRDefault="007130DC">
      <w:pPr>
        <w:tabs>
          <w:tab w:val="left" w:pos="1134"/>
          <w:tab w:val="left" w:pos="1276"/>
        </w:tabs>
        <w:jc w:val="both"/>
      </w:pPr>
    </w:p>
    <w:p w:rsidR="007130DC" w:rsidRDefault="00E9378C">
      <w:r>
        <w:t>Приложения: на 14 л. в 1 экз.</w:t>
      </w:r>
    </w:p>
    <w:p w:rsidR="007130DC" w:rsidRDefault="007130DC">
      <w:pPr>
        <w:shd w:val="clear" w:color="auto" w:fill="FFFFFF"/>
      </w:pPr>
    </w:p>
    <w:p w:rsidR="007130DC" w:rsidRDefault="007130DC">
      <w:pPr>
        <w:shd w:val="clear" w:color="auto" w:fill="FFFFFF"/>
      </w:pPr>
    </w:p>
    <w:p w:rsidR="007130DC" w:rsidRDefault="00B67083">
      <w:pPr>
        <w:shd w:val="clear" w:color="auto" w:fill="FFFFFF"/>
        <w:jc w:val="both"/>
      </w:pPr>
      <w:r>
        <w:rPr>
          <w:noProof/>
        </w:rPr>
        <w:drawing>
          <wp:anchor distT="0" distB="0" distL="0" distR="0" simplePos="0" relativeHeight="3" behindDoc="0" locked="0" layoutInCell="0" allowOverlap="1">
            <wp:simplePos x="0" y="0"/>
            <wp:positionH relativeFrom="character">
              <wp:posOffset>1752600</wp:posOffset>
            </wp:positionH>
            <wp:positionV relativeFrom="paragraph">
              <wp:posOffset>9525</wp:posOffset>
            </wp:positionV>
            <wp:extent cx="2341245" cy="1296035"/>
            <wp:effectExtent l="0" t="0" r="1905" b="0"/>
            <wp:wrapNone/>
            <wp:docPr id="3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 w:rsidR="00E9378C">
        <w:t>И.о</w:t>
      </w:r>
      <w:proofErr w:type="spellEnd"/>
      <w:r w:rsidR="00E9378C">
        <w:t xml:space="preserve">. министра </w:t>
      </w:r>
      <w:r w:rsidR="00E9378C">
        <w:tab/>
        <w:t xml:space="preserve">              </w:t>
      </w:r>
      <w:r w:rsidR="00E9378C">
        <w:tab/>
      </w:r>
      <w:r w:rsidR="00E9378C">
        <w:tab/>
      </w:r>
      <w:r w:rsidR="00E9378C">
        <w:tab/>
      </w:r>
      <w:r w:rsidR="00E9378C">
        <w:tab/>
      </w:r>
      <w:r w:rsidR="00E9378C">
        <w:tab/>
      </w:r>
      <w:r w:rsidR="00E9378C">
        <w:tab/>
        <w:t>А.А. Мирошниченко</w:t>
      </w:r>
    </w:p>
    <w:p w:rsidR="007130DC" w:rsidRDefault="007130DC">
      <w:pPr>
        <w:shd w:val="clear" w:color="auto" w:fill="FFFFFF"/>
        <w:rPr>
          <w:color w:val="FFFFFF"/>
        </w:rPr>
      </w:pPr>
    </w:p>
    <w:p w:rsidR="007130DC" w:rsidRDefault="00E9378C">
      <w:pPr>
        <w:shd w:val="clear" w:color="auto" w:fill="FFFFFF"/>
        <w:rPr>
          <w:color w:val="FFFFFF"/>
        </w:rPr>
      </w:pPr>
      <w:r>
        <w:rPr>
          <w:color w:val="FFFFFF"/>
        </w:rPr>
        <w:t xml:space="preserve">  </w:t>
      </w:r>
    </w:p>
    <w:p w:rsidR="007130DC" w:rsidRDefault="00E9378C">
      <w:pPr>
        <w:pStyle w:val="af1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>Ларина Н.А.</w:t>
      </w:r>
    </w:p>
    <w:p w:rsidR="007130DC" w:rsidRDefault="00E9378C">
      <w:pPr>
        <w:pStyle w:val="af1"/>
        <w:rPr>
          <w:sz w:val="20"/>
          <w:szCs w:val="20"/>
        </w:rPr>
      </w:pPr>
      <w:r>
        <w:rPr>
          <w:sz w:val="20"/>
          <w:szCs w:val="20"/>
        </w:rPr>
        <w:t>238-68-09</w:t>
      </w:r>
    </w:p>
    <w:sectPr w:rsidR="007130DC">
      <w:pgSz w:w="11906" w:h="16838"/>
      <w:pgMar w:top="1134" w:right="567" w:bottom="1134" w:left="1418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Cambria"/>
    <w:charset w:val="01"/>
    <w:family w:val="roman"/>
    <w:pitch w:val="variable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0DC"/>
    <w:rsid w:val="007130DC"/>
    <w:rsid w:val="00B67083"/>
    <w:rsid w:val="00E937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F0D64E-6E50-460C-AC1D-1CD09F132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Mangal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8"/>
      <w:szCs w:val="28"/>
      <w:lang w:eastAsia="ru-RU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qFormat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5">
    <w:name w:val="endnote reference"/>
    <w:rPr>
      <w:vertAlign w:val="superscript"/>
    </w:rPr>
  </w:style>
  <w:style w:type="character" w:customStyle="1" w:styleId="a6">
    <w:name w:val="Верхний колонтитул Знак"/>
    <w:qFormat/>
    <w:rPr>
      <w:sz w:val="28"/>
      <w:szCs w:val="28"/>
      <w:lang w:val="ru-RU" w:eastAsia="ru-RU" w:bidi="ar-SA"/>
    </w:rPr>
  </w:style>
  <w:style w:type="character" w:customStyle="1" w:styleId="20">
    <w:name w:val="Основной текст 2 Знак"/>
    <w:qFormat/>
    <w:rPr>
      <w:sz w:val="28"/>
      <w:szCs w:val="28"/>
      <w:lang w:val="ru-RU" w:eastAsia="ru-RU" w:bidi="ar-SA"/>
    </w:rPr>
  </w:style>
  <w:style w:type="character" w:customStyle="1" w:styleId="30">
    <w:name w:val="Основной текст 3 Знак"/>
    <w:qFormat/>
    <w:rPr>
      <w:b/>
      <w:bCs/>
      <w:sz w:val="28"/>
      <w:szCs w:val="28"/>
      <w:lang w:val="ru-RU" w:eastAsia="ru-RU" w:bidi="ar-SA"/>
    </w:rPr>
  </w:style>
  <w:style w:type="character" w:customStyle="1" w:styleId="40">
    <w:name w:val="Знак Знак4"/>
    <w:qFormat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FontStyle14">
    <w:name w:val="Font Style14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5">
    <w:name w:val="Font Style15"/>
    <w:uiPriority w:val="99"/>
    <w:qFormat/>
    <w:rPr>
      <w:rFonts w:ascii="Times New Roman" w:hAnsi="Times New Roman" w:cs="Times New Roman"/>
      <w:sz w:val="26"/>
      <w:szCs w:val="26"/>
    </w:rPr>
  </w:style>
  <w:style w:type="character" w:customStyle="1" w:styleId="-">
    <w:name w:val="Интернет-ссылка"/>
    <w:uiPriority w:val="99"/>
    <w:qFormat/>
    <w:rPr>
      <w:rFonts w:cs="Times New Roman"/>
      <w:color w:val="0000FF"/>
      <w:u w:val="single"/>
    </w:rPr>
  </w:style>
  <w:style w:type="character" w:customStyle="1" w:styleId="a7">
    <w:name w:val="Заголовок Знак"/>
    <w:qFormat/>
    <w:rPr>
      <w:sz w:val="28"/>
    </w:rPr>
  </w:style>
  <w:style w:type="paragraph" w:customStyle="1" w:styleId="Heading">
    <w:name w:val="Heading"/>
    <w:basedOn w:val="a"/>
    <w:next w:val="a8"/>
    <w:qFormat/>
    <w:pPr>
      <w:keepNext/>
      <w:spacing w:before="240" w:after="120"/>
    </w:pPr>
    <w:rPr>
      <w:rFonts w:ascii="Liberation Sans" w:eastAsia="Microsoft YaHei" w:hAnsi="Liberation Sans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</w:style>
  <w:style w:type="paragraph" w:styleId="aa">
    <w:name w:val="caption"/>
    <w:basedOn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b">
    <w:name w:val="List Paragraph"/>
    <w:basedOn w:val="a"/>
    <w:uiPriority w:val="34"/>
    <w:qFormat/>
    <w:pPr>
      <w:ind w:left="720"/>
      <w:contextualSpacing/>
    </w:pPr>
  </w:style>
  <w:style w:type="paragraph" w:styleId="ac">
    <w:name w:val="No Spacing"/>
    <w:uiPriority w:val="1"/>
    <w:qFormat/>
  </w:style>
  <w:style w:type="paragraph" w:styleId="ad">
    <w:name w:val="Title"/>
    <w:basedOn w:val="a"/>
    <w:qFormat/>
    <w:pPr>
      <w:ind w:firstLine="851"/>
      <w:jc w:val="center"/>
    </w:pPr>
    <w:rPr>
      <w:szCs w:val="20"/>
    </w:rPr>
  </w:style>
  <w:style w:type="paragraph" w:styleId="ae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1">
    <w:name w:val="Quote"/>
    <w:basedOn w:val="a"/>
    <w:uiPriority w:val="29"/>
    <w:qFormat/>
    <w:pPr>
      <w:ind w:left="720" w:right="720"/>
    </w:pPr>
    <w:rPr>
      <w:i/>
    </w:rPr>
  </w:style>
  <w:style w:type="paragraph" w:styleId="af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0">
    <w:name w:val="header"/>
    <w:basedOn w:val="a"/>
    <w:qFormat/>
    <w:pPr>
      <w:tabs>
        <w:tab w:val="center" w:pos="4153"/>
        <w:tab w:val="right" w:pos="8306"/>
      </w:tabs>
    </w:pPr>
  </w:style>
  <w:style w:type="paragraph" w:styleId="af1">
    <w:name w:val="footer"/>
    <w:basedOn w:val="a"/>
    <w:qFormat/>
    <w:pPr>
      <w:tabs>
        <w:tab w:val="center" w:pos="4677"/>
        <w:tab w:val="right" w:pos="9355"/>
      </w:tabs>
    </w:pPr>
  </w:style>
  <w:style w:type="paragraph" w:styleId="af2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3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2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4">
    <w:name w:val="index heading"/>
    <w:basedOn w:val="Heading"/>
  </w:style>
  <w:style w:type="paragraph" w:styleId="af5">
    <w:name w:val="TOC Heading"/>
    <w:uiPriority w:val="39"/>
    <w:unhideWhenUsed/>
    <w:qFormat/>
  </w:style>
  <w:style w:type="paragraph" w:styleId="af6">
    <w:name w:val="table of figures"/>
    <w:basedOn w:val="a"/>
    <w:uiPriority w:val="99"/>
    <w:unhideWhenUsed/>
  </w:style>
  <w:style w:type="paragraph" w:styleId="23">
    <w:name w:val="Body Text 2"/>
    <w:basedOn w:val="a"/>
    <w:qFormat/>
    <w:pPr>
      <w:jc w:val="both"/>
    </w:pPr>
  </w:style>
  <w:style w:type="paragraph" w:styleId="32">
    <w:name w:val="Body Text 3"/>
    <w:basedOn w:val="a"/>
    <w:qFormat/>
    <w:pPr>
      <w:jc w:val="center"/>
    </w:pPr>
    <w:rPr>
      <w:b/>
      <w:bCs/>
    </w:rPr>
  </w:style>
  <w:style w:type="paragraph" w:styleId="af7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f8">
    <w:name w:val="Block Text"/>
    <w:basedOn w:val="a"/>
    <w:qFormat/>
    <w:pPr>
      <w:tabs>
        <w:tab w:val="left" w:pos="2552"/>
      </w:tabs>
      <w:ind w:left="1701" w:right="-369" w:hanging="2694"/>
      <w:jc w:val="both"/>
    </w:pPr>
    <w:rPr>
      <w:szCs w:val="20"/>
    </w:rPr>
  </w:style>
  <w:style w:type="paragraph" w:customStyle="1" w:styleId="Default">
    <w:name w:val="Default"/>
    <w:qFormat/>
    <w:rPr>
      <w:rFonts w:ascii="Calibri" w:hAnsi="Calibri" w:cs="Calibri"/>
      <w:color w:val="000000"/>
      <w:sz w:val="24"/>
      <w:szCs w:val="24"/>
      <w:lang w:eastAsia="ru-RU"/>
    </w:rPr>
  </w:style>
  <w:style w:type="paragraph" w:customStyle="1" w:styleId="Style5">
    <w:name w:val="Style5"/>
    <w:basedOn w:val="a"/>
    <w:uiPriority w:val="99"/>
    <w:qFormat/>
    <w:pPr>
      <w:widowControl w:val="0"/>
      <w:spacing w:line="372" w:lineRule="exact"/>
      <w:ind w:firstLine="701"/>
      <w:jc w:val="both"/>
    </w:pPr>
    <w:rPr>
      <w:rFonts w:eastAsia="Times New Roman"/>
      <w:sz w:val="24"/>
      <w:szCs w:val="24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af9">
    <w:name w:val="Кому"/>
    <w:basedOn w:val="a"/>
    <w:qFormat/>
    <w:rPr>
      <w:rFonts w:ascii="Baltica" w:hAnsi="Baltica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intrans.nso.ru/" TargetMode="External"/><Relationship Id="rId5" Type="http://schemas.openxmlformats.org/officeDocument/2006/relationships/hyperlink" Target="mailto:grma@nso.r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АГНОиПНО</Company>
  <LinksUpToDate>false</LinksUpToDate>
  <CharactersWithSpaces>1492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sna</dc:creator>
  <dc:description/>
  <cp:lastModifiedBy>Коновалова Елена Сергеевна</cp:lastModifiedBy>
  <cp:revision>3</cp:revision>
  <dcterms:created xsi:type="dcterms:W3CDTF">2025-06-26T02:54:00Z</dcterms:created>
  <dcterms:modified xsi:type="dcterms:W3CDTF">2025-07-17T08:13:00Z</dcterms:modified>
  <dc:language>ru-RU</dc:language>
  <cp:version>1048576</cp:version>
</cp:coreProperties>
</file>